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line="360" w:lineRule="auto"/>
        <w:jc w:val="left"/>
        <w:rPr>
          <w:rFonts w:hint="default" w:ascii="宋体" w:hAnsi="宋体" w:eastAsia="宋体" w:cs="宋体"/>
          <w:bCs/>
          <w:color w:val="000000"/>
          <w:sz w:val="30"/>
          <w:szCs w:val="30"/>
          <w:lang w:val="en-US"/>
        </w:rPr>
      </w:pPr>
      <w:r>
        <w:rPr>
          <w:rFonts w:hint="eastAsia" w:ascii="宋体" w:hAnsi="宋体" w:eastAsia="宋体" w:cs="宋体"/>
          <w:bCs/>
          <w:color w:val="000000"/>
          <w:sz w:val="30"/>
          <w:szCs w:val="30"/>
          <w:lang w:val="zh-CN" w:eastAsia="zh-CN"/>
        </w:rPr>
        <w:t>市规划和土地管理委员会</w:t>
      </w:r>
      <w:r>
        <w:rPr>
          <w:rFonts w:hint="eastAsia" w:ascii="宋体" w:hAnsi="宋体" w:eastAsia="宋体" w:cs="宋体"/>
          <w:bCs/>
          <w:color w:val="000000"/>
          <w:sz w:val="30"/>
          <w:szCs w:val="30"/>
          <w:lang w:val="zh-CN"/>
        </w:rPr>
        <w:t>纪要</w:t>
      </w:r>
      <w:r>
        <w:rPr>
          <w:rFonts w:hint="eastAsia" w:ascii="宋体" w:hAnsi="宋体" w:eastAsia="宋体" w:cs="宋体"/>
          <w:bCs/>
          <w:color w:val="000000"/>
          <w:sz w:val="30"/>
          <w:szCs w:val="30"/>
          <w:lang w:val="en-US" w:eastAsia="zh-CN"/>
        </w:rPr>
        <w:t xml:space="preserve"> </w:t>
      </w:r>
      <w:r>
        <w:rPr>
          <w:rFonts w:hint="eastAsia" w:ascii="宋体" w:hAnsi="宋体" w:eastAsia="宋体" w:cs="宋体"/>
          <w:bCs/>
          <w:color w:val="000000"/>
          <w:sz w:val="30"/>
          <w:szCs w:val="30"/>
          <w:lang w:val="zh-CN" w:eastAsia="zh-CN"/>
        </w:rPr>
        <w:t>平规土会</w:t>
      </w:r>
      <w:r>
        <w:rPr>
          <w:rFonts w:hint="eastAsia" w:ascii="宋体" w:hAnsi="宋体" w:eastAsia="宋体" w:cs="宋体"/>
          <w:bCs/>
          <w:color w:val="000000"/>
          <w:sz w:val="30"/>
          <w:szCs w:val="30"/>
          <w:lang w:val="zh-CN"/>
        </w:rPr>
        <w:t>纪</w:t>
      </w:r>
      <w:r>
        <w:rPr>
          <w:rFonts w:hint="eastAsia" w:ascii="宋体" w:hAnsi="宋体" w:eastAsia="宋体" w:cs="宋体"/>
          <w:bCs/>
          <w:color w:val="000000"/>
          <w:sz w:val="30"/>
          <w:szCs w:val="30"/>
          <w:lang w:val="en-US" w:eastAsia="zh-CN"/>
        </w:rPr>
        <w:t>〔2022〕4号</w:t>
      </w:r>
      <w:r>
        <w:rPr>
          <w:rFonts w:hint="eastAsia" w:ascii="宋体" w:hAnsi="宋体" w:cs="宋体"/>
          <w:bCs/>
          <w:color w:val="000000"/>
          <w:sz w:val="30"/>
          <w:szCs w:val="30"/>
          <w:lang w:val="en-US" w:eastAsia="zh-CN"/>
        </w:rPr>
        <w:t xml:space="preserve"> </w:t>
      </w:r>
      <w:r>
        <w:rPr>
          <w:rFonts w:hint="eastAsia" w:ascii="宋体" w:hAnsi="宋体" w:eastAsia="宋体" w:cs="宋体"/>
          <w:bCs/>
          <w:color w:val="000000"/>
          <w:sz w:val="30"/>
          <w:szCs w:val="30"/>
          <w:lang w:val="zh-CN" w:eastAsia="zh-CN"/>
        </w:rPr>
        <w:t>附件</w:t>
      </w:r>
      <w:r>
        <w:rPr>
          <w:rFonts w:hint="eastAsia" w:ascii="宋体" w:hAnsi="宋体" w:eastAsia="宋体" w:cs="宋体"/>
          <w:bCs/>
          <w:color w:val="000000"/>
          <w:sz w:val="30"/>
          <w:szCs w:val="30"/>
          <w:lang w:val="en-US" w:eastAsia="zh-CN"/>
        </w:rPr>
        <w:t>5</w:t>
      </w:r>
    </w:p>
    <w:p>
      <w:pPr>
        <w:pStyle w:val="9"/>
        <w:suppressAutoHyphens/>
        <w:spacing w:beforeLines="0" w:afterLines="0"/>
        <w:jc w:val="both"/>
        <w:rPr>
          <w:rFonts w:hint="eastAsia" w:ascii="宋体" w:hAnsi="宋体" w:eastAsia="宋体" w:cs="宋体"/>
          <w:sz w:val="36"/>
          <w:szCs w:val="24"/>
          <w:lang w:val="zh-CN"/>
        </w:rPr>
      </w:pPr>
    </w:p>
    <w:p>
      <w:pPr>
        <w:pStyle w:val="9"/>
        <w:suppressAutoHyphens/>
        <w:spacing w:beforeLines="0" w:afterLines="0"/>
        <w:jc w:val="both"/>
        <w:rPr>
          <w:rFonts w:hint="eastAsia" w:ascii="宋体" w:hAnsi="宋体" w:eastAsia="宋体" w:cs="宋体"/>
          <w:sz w:val="36"/>
          <w:szCs w:val="24"/>
          <w:lang w:val="zh-CN"/>
        </w:rPr>
      </w:pPr>
    </w:p>
    <w:p>
      <w:pPr>
        <w:pStyle w:val="4"/>
        <w:tabs>
          <w:tab w:val="right" w:leader="dot" w:pos="10226"/>
        </w:tabs>
        <w:spacing w:line="240" w:lineRule="auto"/>
        <w:ind w:left="2198" w:leftChars="418" w:hanging="1320" w:hangingChars="300"/>
        <w:jc w:val="left"/>
        <w:rPr>
          <w:rFonts w:hint="eastAsia" w:ascii="仿宋_GB2312" w:hAnsi="仿宋_GB2312" w:eastAsia="仿宋_GB2312" w:cs="Times New Roman"/>
          <w:sz w:val="32"/>
        </w:rPr>
      </w:pPr>
      <w:r>
        <w:rPr>
          <w:rFonts w:hint="eastAsia" w:ascii="黑体" w:hAnsi="黑体" w:eastAsia="黑体" w:cs="黑体"/>
          <w:kern w:val="0"/>
          <w:sz w:val="44"/>
          <w:szCs w:val="44"/>
          <w:lang w:val="en-US" w:eastAsia="zh-CN"/>
        </w:rPr>
        <w:t>河南双鹤华利药业有限公司迁建项目</w:t>
      </w:r>
      <w:r>
        <w:rPr>
          <w:rFonts w:hint="eastAsia" w:ascii="黑体" w:hAnsi="黑体" w:eastAsia="黑体" w:cs="黑体"/>
          <w:kern w:val="0"/>
          <w:sz w:val="44"/>
          <w:szCs w:val="44"/>
        </w:rPr>
        <w:t>修建性详细规划</w:t>
      </w:r>
      <w:r>
        <w:rPr>
          <w:rFonts w:hint="eastAsia" w:ascii="黑体" w:hAnsi="黑体" w:eastAsia="黑体" w:cs="黑体"/>
          <w:kern w:val="0"/>
          <w:sz w:val="44"/>
          <w:szCs w:val="44"/>
          <w:lang w:val="en-US" w:eastAsia="zh-CN"/>
        </w:rPr>
        <w:t>优化</w:t>
      </w:r>
    </w:p>
    <w:p>
      <w:pPr>
        <w:autoSpaceDE w:val="0"/>
        <w:autoSpaceDN w:val="0"/>
        <w:spacing w:line="580" w:lineRule="exact"/>
        <w:ind w:firstLine="3092" w:firstLineChars="700"/>
        <w:rPr>
          <w:rFonts w:hint="eastAsia" w:ascii="黑体" w:hAnsi="黑体" w:eastAsia="黑体" w:cs="黑体"/>
          <w:b/>
          <w:kern w:val="0"/>
          <w:sz w:val="44"/>
          <w:szCs w:val="44"/>
        </w:rPr>
      </w:pPr>
    </w:p>
    <w:p>
      <w:pPr>
        <w:pStyle w:val="9"/>
        <w:suppressAutoHyphens/>
        <w:spacing w:beforeLines="0" w:afterLines="0"/>
        <w:jc w:val="center"/>
        <w:rPr>
          <w:rFonts w:hint="eastAsia" w:ascii="黑体" w:hAnsi="黑体" w:eastAsia="黑体" w:cs="黑体"/>
          <w:sz w:val="44"/>
          <w:szCs w:val="44"/>
          <w:lang w:val="en-US" w:eastAsia="zh-CN"/>
        </w:rPr>
      </w:pPr>
    </w:p>
    <w:p>
      <w:pPr>
        <w:bidi w:val="0"/>
        <w:rPr>
          <w:rFonts w:hint="eastAsia" w:ascii="宋体" w:hAnsi="宋体" w:eastAsia="宋体" w:cs="宋体"/>
          <w:lang w:val="zh-CN"/>
        </w:rPr>
      </w:pPr>
    </w:p>
    <w:p>
      <w:pPr>
        <w:bidi w:val="0"/>
        <w:rPr>
          <w:rFonts w:hint="eastAsia" w:ascii="宋体" w:hAnsi="宋体" w:eastAsia="宋体" w:cs="宋体"/>
          <w:lang w:val="zh-CN"/>
        </w:rPr>
      </w:pPr>
    </w:p>
    <w:p>
      <w:pPr>
        <w:bidi w:val="0"/>
        <w:rPr>
          <w:rFonts w:hint="eastAsia" w:ascii="宋体" w:hAnsi="宋体" w:eastAsia="宋体" w:cs="宋体"/>
          <w:lang w:val="zh-CN"/>
        </w:rPr>
      </w:pPr>
    </w:p>
    <w:p>
      <w:pPr>
        <w:bidi w:val="0"/>
        <w:rPr>
          <w:rFonts w:hint="eastAsia" w:ascii="宋体" w:hAnsi="宋体" w:eastAsia="宋体" w:cs="宋体"/>
          <w:lang w:val="zh-CN"/>
        </w:rPr>
      </w:pPr>
    </w:p>
    <w:p>
      <w:pPr>
        <w:bidi w:val="0"/>
        <w:rPr>
          <w:rFonts w:hint="eastAsia" w:ascii="宋体" w:hAnsi="宋体" w:eastAsia="宋体" w:cs="宋体"/>
          <w:lang w:val="en-US" w:eastAsia="zh-CN"/>
        </w:rPr>
      </w:pPr>
      <w:r>
        <w:rPr>
          <w:rFonts w:hint="eastAsia" w:ascii="宋体" w:hAnsi="宋体" w:eastAsia="宋体" w:cs="宋体"/>
          <w:lang w:val="en-US" w:eastAsia="zh-CN"/>
        </w:rPr>
        <w:t xml:space="preserve"> </w: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zh-CN"/>
        </w:rPr>
      </w:pPr>
    </w:p>
    <w:p>
      <w:pPr>
        <w:bidi w:val="0"/>
        <w:rPr>
          <w:rFonts w:hint="eastAsia" w:ascii="宋体" w:hAnsi="宋体" w:eastAsia="宋体" w:cs="宋体"/>
          <w:lang w:val="zh-CN"/>
        </w:rPr>
      </w:pPr>
    </w:p>
    <w:p>
      <w:pPr>
        <w:bidi w:val="0"/>
        <w:rPr>
          <w:rFonts w:hint="eastAsia" w:ascii="宋体" w:hAnsi="宋体" w:eastAsia="宋体" w:cs="宋体"/>
          <w:lang w:val="zh-CN"/>
        </w:rPr>
      </w:pPr>
    </w:p>
    <w:p>
      <w:pPr>
        <w:bidi w:val="0"/>
        <w:rPr>
          <w:rFonts w:hint="eastAsia" w:ascii="宋体" w:hAnsi="宋体" w:eastAsia="宋体" w:cs="宋体"/>
          <w:lang w:val="zh-CN"/>
        </w:rPr>
      </w:pPr>
    </w:p>
    <w:p>
      <w:pPr>
        <w:bidi w:val="0"/>
        <w:rPr>
          <w:rFonts w:hint="eastAsia" w:ascii="宋体" w:hAnsi="宋体" w:eastAsia="宋体" w:cs="宋体"/>
          <w:lang w:val="zh-CN"/>
        </w:rPr>
      </w:pPr>
    </w:p>
    <w:p>
      <w:pPr>
        <w:bidi w:val="0"/>
        <w:rPr>
          <w:rFonts w:hint="eastAsia" w:ascii="宋体" w:hAnsi="宋体" w:eastAsia="宋体" w:cs="宋体"/>
          <w:lang w:val="zh-CN"/>
        </w:rPr>
      </w:pPr>
    </w:p>
    <w:p>
      <w:pPr>
        <w:bidi w:val="0"/>
        <w:rPr>
          <w:rFonts w:hint="eastAsia" w:ascii="宋体" w:hAnsi="宋体" w:eastAsia="宋体" w:cs="宋体"/>
          <w:lang w:val="zh-CN"/>
        </w:rPr>
      </w:pPr>
    </w:p>
    <w:p>
      <w:pPr>
        <w:bidi w:val="0"/>
        <w:rPr>
          <w:rFonts w:hint="eastAsia" w:ascii="宋体" w:hAnsi="宋体" w:eastAsia="宋体" w:cs="宋体"/>
          <w:lang w:val="zh-CN"/>
        </w:rPr>
      </w:pPr>
    </w:p>
    <w:p>
      <w:pPr>
        <w:bidi w:val="0"/>
        <w:rPr>
          <w:rFonts w:hint="eastAsia" w:ascii="宋体" w:hAnsi="宋体" w:eastAsia="宋体" w:cs="宋体"/>
          <w:lang w:val="zh-CN"/>
        </w:rPr>
      </w:pPr>
    </w:p>
    <w:p>
      <w:pPr>
        <w:bidi w:val="0"/>
        <w:rPr>
          <w:rFonts w:hint="eastAsia" w:ascii="宋体" w:hAnsi="宋体" w:eastAsia="宋体" w:cs="宋体"/>
          <w:lang w:val="zh-CN"/>
        </w:rPr>
      </w:pPr>
    </w:p>
    <w:p>
      <w:pPr>
        <w:bidi w:val="0"/>
        <w:rPr>
          <w:rFonts w:hint="eastAsia" w:ascii="宋体" w:hAnsi="宋体" w:eastAsia="宋体" w:cs="宋体"/>
          <w:lang w:val="zh-CN"/>
        </w:rPr>
      </w:pPr>
    </w:p>
    <w:p>
      <w:pPr>
        <w:bidi w:val="0"/>
        <w:rPr>
          <w:rFonts w:hint="eastAsia" w:ascii="宋体" w:hAnsi="宋体" w:eastAsia="宋体" w:cs="宋体"/>
          <w:lang w:val="zh-CN"/>
        </w:rPr>
      </w:pPr>
    </w:p>
    <w:p>
      <w:pPr>
        <w:bidi w:val="0"/>
        <w:rPr>
          <w:rFonts w:hint="eastAsia" w:ascii="宋体" w:hAnsi="宋体" w:eastAsia="宋体" w:cs="宋体"/>
          <w:lang w:val="zh-CN"/>
        </w:rPr>
      </w:pPr>
    </w:p>
    <w:p>
      <w:pPr>
        <w:bidi w:val="0"/>
        <w:rPr>
          <w:rFonts w:hint="eastAsia" w:ascii="宋体" w:hAnsi="宋体" w:eastAsia="宋体" w:cs="宋体"/>
          <w:lang w:val="zh-CN"/>
        </w:rPr>
      </w:pPr>
    </w:p>
    <w:p>
      <w:pPr>
        <w:bidi w:val="0"/>
        <w:rPr>
          <w:rFonts w:hint="eastAsia" w:ascii="宋体" w:hAnsi="宋体" w:eastAsia="宋体" w:cs="宋体"/>
          <w:lang w:val="zh-CN"/>
        </w:rPr>
      </w:pPr>
    </w:p>
    <w:p>
      <w:pPr>
        <w:bidi w:val="0"/>
        <w:rPr>
          <w:rFonts w:hint="eastAsia" w:ascii="宋体" w:hAnsi="宋体" w:eastAsia="宋体" w:cs="宋体"/>
          <w:lang w:val="zh-CN"/>
        </w:rPr>
      </w:pPr>
    </w:p>
    <w:p>
      <w:pPr>
        <w:bidi w:val="0"/>
        <w:rPr>
          <w:rFonts w:hint="eastAsia" w:ascii="宋体" w:hAnsi="宋体" w:eastAsia="宋体" w:cs="宋体"/>
          <w:lang w:val="zh-CN"/>
        </w:rPr>
      </w:pPr>
    </w:p>
    <w:p>
      <w:pPr>
        <w:bidi w:val="0"/>
        <w:rPr>
          <w:rFonts w:hint="eastAsia" w:ascii="宋体" w:hAnsi="宋体" w:eastAsia="宋体" w:cs="宋体"/>
          <w:lang w:val="zh-CN"/>
        </w:rPr>
      </w:pPr>
    </w:p>
    <w:p>
      <w:pPr>
        <w:pStyle w:val="9"/>
        <w:suppressAutoHyphens/>
        <w:spacing w:beforeLines="0" w:afterLines="0"/>
        <w:ind w:firstLine="2640" w:firstLineChars="1100"/>
        <w:jc w:val="both"/>
        <w:rPr>
          <w:rFonts w:hint="eastAsia" w:ascii="宋体" w:hAnsi="宋体" w:eastAsia="宋体" w:cs="宋体"/>
          <w:sz w:val="36"/>
          <w:szCs w:val="24"/>
          <w:lang w:val="zh-CN"/>
        </w:rPr>
      </w:pPr>
      <w:r>
        <w:rPr>
          <w:rFonts w:hint="eastAsia" w:ascii="宋体" w:hAnsi="宋体" w:eastAsia="宋体" w:cs="宋体"/>
          <w:lang w:val="zh-CN"/>
        </w:rPr>
        <w:tab/>
      </w:r>
      <w:r>
        <w:rPr>
          <w:rFonts w:hint="eastAsia" w:ascii="宋体" w:hAnsi="宋体" w:eastAsia="宋体" w:cs="宋体"/>
          <w:sz w:val="36"/>
          <w:szCs w:val="24"/>
          <w:lang w:val="zh-CN"/>
        </w:rPr>
        <w:t>202</w:t>
      </w:r>
      <w:r>
        <w:rPr>
          <w:rFonts w:hint="eastAsia" w:ascii="宋体" w:hAnsi="宋体" w:eastAsia="宋体" w:cs="宋体"/>
          <w:sz w:val="36"/>
          <w:szCs w:val="24"/>
          <w:lang w:val="en-US" w:eastAsia="zh-CN"/>
        </w:rPr>
        <w:t>2</w:t>
      </w:r>
      <w:r>
        <w:rPr>
          <w:rFonts w:hint="eastAsia" w:ascii="宋体" w:hAnsi="宋体" w:eastAsia="宋体" w:cs="宋体"/>
          <w:sz w:val="36"/>
          <w:szCs w:val="24"/>
          <w:lang w:val="zh-CN"/>
        </w:rPr>
        <w:t>年</w:t>
      </w:r>
      <w:r>
        <w:rPr>
          <w:rFonts w:hint="eastAsia" w:ascii="宋体" w:hAnsi="宋体" w:eastAsia="宋体" w:cs="宋体"/>
          <w:sz w:val="36"/>
          <w:szCs w:val="24"/>
          <w:lang w:val="en-US" w:eastAsia="zh-CN"/>
        </w:rPr>
        <w:t>5</w:t>
      </w:r>
      <w:r>
        <w:rPr>
          <w:rFonts w:hint="eastAsia" w:ascii="宋体" w:hAnsi="宋体" w:eastAsia="宋体" w:cs="宋体"/>
          <w:sz w:val="36"/>
          <w:szCs w:val="24"/>
          <w:lang w:val="zh-CN"/>
        </w:rPr>
        <w:t>月</w:t>
      </w:r>
      <w:r>
        <w:rPr>
          <w:rFonts w:hint="eastAsia" w:ascii="宋体" w:hAnsi="宋体" w:eastAsia="宋体" w:cs="宋体"/>
          <w:sz w:val="36"/>
          <w:szCs w:val="24"/>
          <w:lang w:val="en-US" w:eastAsia="zh-CN"/>
        </w:rPr>
        <w:t>20</w:t>
      </w:r>
      <w:r>
        <w:rPr>
          <w:rFonts w:hint="eastAsia" w:ascii="宋体" w:hAnsi="宋体" w:eastAsia="宋体" w:cs="宋体"/>
          <w:sz w:val="36"/>
          <w:szCs w:val="24"/>
          <w:lang w:val="zh-CN"/>
        </w:rPr>
        <w:t>日</w:t>
      </w:r>
    </w:p>
    <w:p>
      <w:pPr>
        <w:rPr>
          <w:rFonts w:hint="eastAsia" w:ascii="宋体" w:hAnsi="宋体" w:eastAsia="宋体" w:cs="宋体"/>
        </w:rPr>
        <w:sectPr>
          <w:footerReference r:id="rId3" w:type="default"/>
          <w:pgSz w:w="11906" w:h="16838"/>
          <w:pgMar w:top="1440" w:right="1800" w:bottom="1440" w:left="1800" w:header="851" w:footer="992" w:gutter="0"/>
          <w:pgNumType w:fmt="decimal" w:start="0"/>
          <w:cols w:space="720" w:num="1"/>
          <w:docGrid w:type="lines" w:linePitch="312" w:charSpace="0"/>
        </w:sectPr>
      </w:pPr>
    </w:p>
    <w:p>
      <w:pPr>
        <w:pStyle w:val="4"/>
        <w:tabs>
          <w:tab w:val="right" w:leader="dot" w:pos="10226"/>
        </w:tabs>
        <w:spacing w:line="240" w:lineRule="auto"/>
        <w:ind w:firstLine="664" w:firstLineChars="200"/>
        <w:jc w:val="left"/>
        <w:rPr>
          <w:rFonts w:hint="eastAsia" w:ascii="仿宋_GB2312" w:eastAsia="仿宋_GB2312"/>
          <w:bCs/>
          <w:kern w:val="0"/>
          <w:sz w:val="32"/>
          <w:szCs w:val="32"/>
          <w:lang w:val="en-US" w:eastAsia="zh-CN"/>
        </w:rPr>
      </w:pPr>
      <w:r>
        <w:rPr>
          <w:rFonts w:hint="eastAsia" w:ascii="仿宋_GB2312" w:hAnsi="Calibri" w:eastAsia="仿宋_GB2312" w:cs="Times New Roman"/>
          <w:spacing w:val="6"/>
          <w:kern w:val="0"/>
          <w:sz w:val="32"/>
          <w:szCs w:val="24"/>
          <w:lang w:val="en-US" w:eastAsia="zh-CN" w:bidi="ar-SA"/>
        </w:rPr>
        <w:t>平顶山市规划和土地管理委员会2022年第四次全体会议原则通过了河南双鹤华利药业有限公司迁建项目修建性详细规划优化。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67" w:firstLineChars="200"/>
        <w:jc w:val="both"/>
        <w:textAlignment w:val="auto"/>
        <w:outlineLvl w:val="9"/>
        <w:rPr>
          <w:rFonts w:hint="eastAsia" w:ascii="仿宋_GB2312" w:eastAsia="仿宋_GB2312"/>
          <w:b/>
          <w:bCs/>
          <w:spacing w:val="6"/>
          <w:kern w:val="0"/>
          <w:sz w:val="32"/>
          <w:szCs w:val="24"/>
          <w:lang w:val="zh-CN" w:eastAsia="zh-CN"/>
        </w:rPr>
      </w:pPr>
      <w:r>
        <w:rPr>
          <w:rFonts w:hint="eastAsia" w:ascii="黑体" w:hAnsi="黑体" w:eastAsia="黑体" w:cs="黑体"/>
          <w:b/>
          <w:bCs/>
          <w:spacing w:val="6"/>
          <w:kern w:val="0"/>
          <w:sz w:val="32"/>
          <w:szCs w:val="24"/>
          <w:lang w:val="en-US" w:eastAsia="zh-CN"/>
        </w:rPr>
        <w:t>一、</w:t>
      </w:r>
      <w:r>
        <w:rPr>
          <w:rFonts w:hint="eastAsia" w:ascii="黑体" w:hAnsi="黑体" w:eastAsia="黑体" w:cs="黑体"/>
          <w:b/>
          <w:bCs/>
          <w:spacing w:val="6"/>
          <w:kern w:val="0"/>
          <w:sz w:val="32"/>
          <w:szCs w:val="24"/>
          <w:lang w:val="zh-CN" w:eastAsia="zh-CN"/>
        </w:rPr>
        <w:t>项目位置</w:t>
      </w:r>
      <w:r>
        <w:rPr>
          <w:rFonts w:hint="eastAsia" w:ascii="仿宋_GB2312" w:eastAsia="仿宋_GB2312"/>
          <w:b/>
          <w:bCs/>
          <w:spacing w:val="6"/>
          <w:kern w:val="0"/>
          <w:sz w:val="32"/>
          <w:szCs w:val="24"/>
          <w:lang w:val="en-US" w:eastAsia="zh-CN"/>
        </w:rPr>
        <w:t xml:space="preserve"> </w:t>
      </w:r>
    </w:p>
    <w:p>
      <w:pPr>
        <w:ind w:firstLine="640" w:firstLineChars="200"/>
        <w:rPr>
          <w:rFonts w:hint="eastAsia" w:ascii="仿宋_GB2312" w:hAnsi="仿宋_GB2312" w:eastAsia="仿宋_GB2312" w:cs="Times New Roman"/>
          <w:kern w:val="2"/>
          <w:sz w:val="32"/>
          <w:lang w:val="en-US" w:eastAsia="zh-CN" w:bidi="ar-SA"/>
        </w:rPr>
      </w:pPr>
      <w:r>
        <w:rPr>
          <w:rFonts w:hint="eastAsia" w:ascii="仿宋_GB2312" w:hAnsi="仿宋_GB2312" w:eastAsia="仿宋_GB2312" w:cs="Times New Roman"/>
          <w:kern w:val="2"/>
          <w:sz w:val="32"/>
          <w:lang w:val="en-US" w:eastAsia="zh-CN" w:bidi="ar-SA"/>
        </w:rPr>
        <w:t>本次规划项目位于平顶山市湛河区轻工路与东环路交叉口东南角。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67" w:firstLineChars="200"/>
        <w:jc w:val="both"/>
        <w:textAlignment w:val="auto"/>
        <w:outlineLvl w:val="9"/>
        <w:rPr>
          <w:rFonts w:hint="eastAsia" w:ascii="黑体" w:hAnsi="黑体" w:eastAsia="黑体" w:cs="黑体"/>
          <w:b/>
          <w:bCs/>
          <w:spacing w:val="6"/>
          <w:kern w:val="0"/>
          <w:sz w:val="32"/>
          <w:szCs w:val="24"/>
          <w:lang w:val="zh-CN" w:eastAsia="zh-CN"/>
        </w:rPr>
      </w:pPr>
      <w:r>
        <w:rPr>
          <w:rFonts w:hint="eastAsia" w:ascii="黑体" w:hAnsi="黑体" w:eastAsia="黑体" w:cs="黑体"/>
          <w:b/>
          <w:bCs/>
          <w:spacing w:val="6"/>
          <w:kern w:val="0"/>
          <w:sz w:val="32"/>
          <w:szCs w:val="24"/>
          <w:lang w:val="en-US" w:eastAsia="zh-CN"/>
        </w:rPr>
        <w:t>二、</w:t>
      </w:r>
      <w:r>
        <w:rPr>
          <w:rFonts w:hint="eastAsia" w:ascii="黑体" w:hAnsi="黑体" w:eastAsia="黑体" w:cs="黑体"/>
          <w:b/>
          <w:bCs/>
          <w:spacing w:val="6"/>
          <w:kern w:val="0"/>
          <w:sz w:val="32"/>
          <w:szCs w:val="24"/>
          <w:lang w:val="zh-CN" w:eastAsia="zh-CN"/>
        </w:rPr>
        <w:t>优化背景</w:t>
      </w:r>
    </w:p>
    <w:p>
      <w:pPr>
        <w:ind w:firstLine="640" w:firstLineChars="200"/>
        <w:rPr>
          <w:rFonts w:hint="eastAsia" w:ascii="仿宋_GB2312" w:hAnsi="仿宋_GB2312" w:eastAsia="仿宋_GB2312" w:cs="Times New Roman"/>
          <w:kern w:val="2"/>
          <w:sz w:val="32"/>
          <w:lang w:val="en-US" w:eastAsia="zh-CN" w:bidi="ar-SA"/>
        </w:rPr>
      </w:pPr>
      <w:r>
        <w:rPr>
          <w:rFonts w:hint="eastAsia" w:ascii="仿宋_GB2312" w:hAnsi="仿宋_GB2312" w:eastAsia="仿宋_GB2312" w:cs="Times New Roman"/>
          <w:kern w:val="2"/>
          <w:sz w:val="32"/>
          <w:lang w:val="en-US" w:eastAsia="zh-CN" w:bidi="ar-SA"/>
        </w:rPr>
        <w:t>本地块控制性详细规划已于2015年3月局业务会审查通过；修建性详细规划已于2016年3月局业务会审查通过。因厂区生产生活功能使用需要，需对厂区几个相关功能用房位置、面积进行调整优化。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67" w:firstLineChars="200"/>
        <w:jc w:val="both"/>
        <w:textAlignment w:val="auto"/>
        <w:outlineLvl w:val="9"/>
        <w:rPr>
          <w:rFonts w:hint="eastAsia" w:ascii="仿宋_GB2312" w:eastAsia="仿宋_GB2312"/>
          <w:bCs/>
          <w:kern w:val="0"/>
          <w:sz w:val="32"/>
          <w:szCs w:val="32"/>
          <w:lang w:val="en-US" w:eastAsia="zh-CN"/>
        </w:rPr>
      </w:pPr>
      <w:r>
        <w:rPr>
          <w:rFonts w:hint="eastAsia" w:ascii="黑体" w:hAnsi="黑体" w:eastAsia="黑体" w:cs="黑体"/>
          <w:b/>
          <w:bCs/>
          <w:spacing w:val="6"/>
          <w:kern w:val="0"/>
          <w:sz w:val="32"/>
          <w:szCs w:val="24"/>
          <w:lang w:val="en-US" w:eastAsia="zh-CN"/>
        </w:rPr>
        <w:t>三、</w:t>
      </w:r>
      <w:r>
        <w:rPr>
          <w:rFonts w:hint="eastAsia" w:ascii="黑体" w:hAnsi="黑体" w:eastAsia="黑体" w:cs="黑体"/>
          <w:b/>
          <w:bCs/>
          <w:spacing w:val="6"/>
          <w:kern w:val="0"/>
          <w:sz w:val="32"/>
          <w:szCs w:val="24"/>
          <w:lang w:val="zh-CN" w:eastAsia="zh-CN"/>
        </w:rPr>
        <w:t>优化内容</w:t>
      </w:r>
    </w:p>
    <w:p>
      <w:pPr>
        <w:ind w:firstLine="640" w:firstLineChars="200"/>
        <w:rPr>
          <w:rFonts w:hint="eastAsia" w:ascii="仿宋_GB2312" w:hAnsi="仿宋_GB2312" w:eastAsia="仿宋_GB2312" w:cs="Times New Roman"/>
          <w:kern w:val="2"/>
          <w:sz w:val="32"/>
          <w:lang w:val="en-US" w:eastAsia="zh-CN" w:bidi="ar-SA"/>
        </w:rPr>
      </w:pPr>
      <w:r>
        <w:rPr>
          <w:rFonts w:hint="eastAsia" w:ascii="仿宋_GB2312" w:hAnsi="仿宋_GB2312" w:eastAsia="仿宋_GB2312" w:cs="Times New Roman"/>
          <w:kern w:val="2"/>
          <w:sz w:val="32"/>
          <w:lang w:val="en-US" w:eastAsia="zh-CN" w:bidi="ar-SA"/>
        </w:rPr>
        <w:t>本次修改调整优化内容：</w:t>
      </w:r>
    </w:p>
    <w:p>
      <w:pPr>
        <w:ind w:firstLine="640" w:firstLineChars="200"/>
        <w:rPr>
          <w:rFonts w:hint="eastAsia" w:ascii="仿宋_GB2312" w:hAnsi="仿宋_GB2312" w:eastAsia="仿宋_GB2312" w:cs="Times New Roman"/>
          <w:kern w:val="2"/>
          <w:sz w:val="32"/>
          <w:lang w:val="en-US" w:eastAsia="zh-CN" w:bidi="ar-SA"/>
        </w:rPr>
      </w:pPr>
      <w:r>
        <w:rPr>
          <w:rFonts w:hint="eastAsia" w:ascii="仿宋_GB2312" w:hAnsi="仿宋_GB2312" w:eastAsia="仿宋_GB2312" w:cs="Times New Roman"/>
          <w:kern w:val="2"/>
          <w:sz w:val="32"/>
          <w:lang w:val="en-US" w:eastAsia="zh-CN" w:bidi="ar-SA"/>
        </w:rPr>
        <w:t>1、原7号门房及淋浴变更为7号门房；淋浴移动到厂区东南角变更为职工洗浴，7号门房北侧新增一栋</w:t>
      </w:r>
      <w:bookmarkStart w:id="0" w:name="_GoBack"/>
      <w:bookmarkEnd w:id="0"/>
      <w:r>
        <w:rPr>
          <w:rFonts w:hint="eastAsia" w:ascii="仿宋_GB2312" w:hAnsi="仿宋_GB2312" w:eastAsia="仿宋_GB2312" w:cs="Times New Roman"/>
          <w:kern w:val="2"/>
          <w:sz w:val="32"/>
          <w:lang w:val="en-US" w:eastAsia="zh-CN" w:bidi="ar-SA"/>
        </w:rPr>
        <w:t>物流办公室。</w:t>
      </w:r>
    </w:p>
    <w:p>
      <w:pPr>
        <w:ind w:firstLine="640" w:firstLineChars="200"/>
        <w:rPr>
          <w:rFonts w:hint="eastAsia" w:ascii="仿宋_GB2312" w:hAnsi="仿宋_GB2312" w:eastAsia="仿宋_GB2312" w:cs="Times New Roman"/>
          <w:kern w:val="2"/>
          <w:sz w:val="32"/>
          <w:lang w:val="en-US" w:eastAsia="zh-CN" w:bidi="ar-SA"/>
        </w:rPr>
      </w:pPr>
      <w:r>
        <w:rPr>
          <w:rFonts w:hint="eastAsia" w:ascii="仿宋_GB2312" w:hAnsi="仿宋_GB2312" w:eastAsia="仿宋_GB2312" w:cs="Times New Roman"/>
          <w:kern w:val="2"/>
          <w:sz w:val="32"/>
          <w:lang w:val="en-US" w:eastAsia="zh-CN" w:bidi="ar-SA"/>
        </w:rPr>
        <w:t>2、9号固废处理及垃圾站移动到厂区东南角变为废品库。</w:t>
      </w:r>
    </w:p>
    <w:p>
      <w:pPr>
        <w:ind w:firstLine="640" w:firstLineChars="200"/>
        <w:rPr>
          <w:rFonts w:hint="eastAsia" w:ascii="仿宋_GB2312" w:hAnsi="仿宋_GB2312" w:eastAsia="仿宋_GB2312" w:cs="Times New Roman"/>
          <w:kern w:val="2"/>
          <w:sz w:val="32"/>
          <w:lang w:val="en-US" w:eastAsia="zh-CN" w:bidi="ar-SA"/>
        </w:rPr>
      </w:pPr>
      <w:r>
        <w:rPr>
          <w:rFonts w:hint="eastAsia" w:ascii="仿宋_GB2312" w:hAnsi="仿宋_GB2312" w:eastAsia="仿宋_GB2312" w:cs="Times New Roman"/>
          <w:kern w:val="2"/>
          <w:sz w:val="32"/>
          <w:lang w:val="en-US" w:eastAsia="zh-CN" w:bidi="ar-SA"/>
        </w:rPr>
        <w:t>3、12号生产厂房变更为五金库房。其他保持原设计不变。</w:t>
      </w:r>
    </w:p>
    <w:p>
      <w:pPr>
        <w:ind w:firstLine="640" w:firstLineChars="200"/>
        <w:rPr>
          <w:rFonts w:hint="eastAsia" w:ascii="仿宋_GB2312" w:hAnsi="仿宋_GB2312" w:eastAsia="仿宋_GB2312" w:cs="Times New Roman"/>
          <w:kern w:val="2"/>
          <w:sz w:val="32"/>
          <w:lang w:val="en-US" w:eastAsia="zh-CN" w:bidi="ar-SA"/>
        </w:rPr>
      </w:pPr>
      <w:r>
        <w:rPr>
          <w:rFonts w:hint="eastAsia" w:ascii="仿宋_GB2312" w:hAnsi="仿宋_GB2312" w:eastAsia="仿宋_GB2312" w:cs="Times New Roman"/>
          <w:kern w:val="2"/>
          <w:sz w:val="32"/>
          <w:lang w:val="en-US" w:eastAsia="zh-CN" w:bidi="ar-SA"/>
        </w:rPr>
        <w:t>4、本次优化内容是在控制性详细规划的范围内。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仿宋_GB2312" w:eastAsia="仿宋_GB2312"/>
          <w:spacing w:val="6"/>
          <w:kern w:val="0"/>
          <w:sz w:val="32"/>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67" w:firstLineChars="200"/>
        <w:jc w:val="both"/>
        <w:textAlignment w:val="auto"/>
        <w:outlineLvl w:val="9"/>
        <w:rPr>
          <w:rFonts w:hint="eastAsia" w:ascii="黑体" w:hAnsi="黑体" w:eastAsia="黑体" w:cs="黑体"/>
          <w:b/>
          <w:bCs/>
          <w:spacing w:val="6"/>
          <w:kern w:val="0"/>
          <w:sz w:val="32"/>
          <w:szCs w:val="24"/>
          <w:lang w:val="zh-CN" w:eastAsia="zh-CN"/>
        </w:rPr>
      </w:pPr>
      <w:r>
        <w:rPr>
          <w:rFonts w:hint="eastAsia" w:ascii="黑体" w:hAnsi="黑体" w:eastAsia="黑体" w:cs="黑体"/>
          <w:b/>
          <w:bCs/>
          <w:spacing w:val="6"/>
          <w:kern w:val="0"/>
          <w:sz w:val="32"/>
          <w:szCs w:val="24"/>
          <w:lang w:val="en-US" w:eastAsia="zh-CN"/>
        </w:rPr>
        <w:t>四、</w:t>
      </w:r>
      <w:r>
        <w:rPr>
          <w:rFonts w:hint="eastAsia" w:ascii="黑体" w:hAnsi="黑体" w:eastAsia="黑体" w:cs="黑体"/>
          <w:b/>
          <w:bCs/>
          <w:spacing w:val="6"/>
          <w:kern w:val="0"/>
          <w:sz w:val="32"/>
          <w:szCs w:val="24"/>
          <w:lang w:val="zh-CN" w:eastAsia="zh-CN"/>
        </w:rPr>
        <w:t>建筑外立面材质与色彩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64" w:firstLineChars="200"/>
        <w:jc w:val="both"/>
        <w:textAlignment w:val="auto"/>
        <w:outlineLvl w:val="9"/>
        <w:rPr>
          <w:rFonts w:hint="eastAsia" w:ascii="仿宋_GB2312" w:eastAsia="仿宋_GB2312" w:cs="Times New Roman"/>
          <w:spacing w:val="6"/>
          <w:kern w:val="0"/>
          <w:sz w:val="32"/>
          <w:szCs w:val="24"/>
          <w:lang w:val="en-US" w:eastAsia="zh-CN"/>
        </w:rPr>
      </w:pPr>
      <w:r>
        <w:rPr>
          <w:rFonts w:hint="eastAsia" w:ascii="仿宋_GB2312" w:eastAsia="仿宋_GB2312" w:cs="Times New Roman"/>
          <w:spacing w:val="6"/>
          <w:kern w:val="0"/>
          <w:sz w:val="32"/>
          <w:szCs w:val="24"/>
          <w:lang w:val="en-US" w:eastAsia="zh-CN"/>
        </w:rPr>
        <w:t>建筑的体量、高度、材质、色彩新颖大方，采用现代建筑风格，并与周围建筑环境相协调，沿街建筑立面符合道路景观要求，并满足相关规范的要求。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67" w:firstLineChars="200"/>
        <w:jc w:val="both"/>
        <w:textAlignment w:val="auto"/>
        <w:outlineLvl w:val="9"/>
        <w:rPr>
          <w:rFonts w:hint="eastAsia" w:ascii="黑体" w:hAnsi="黑体" w:eastAsia="黑体" w:cs="黑体"/>
          <w:b/>
          <w:bCs/>
          <w:spacing w:val="6"/>
          <w:kern w:val="0"/>
          <w:sz w:val="32"/>
          <w:szCs w:val="24"/>
          <w:lang w:val="zh-CN" w:eastAsia="zh-CN"/>
        </w:rPr>
      </w:pPr>
      <w:r>
        <w:rPr>
          <w:rFonts w:hint="eastAsia" w:ascii="黑体" w:hAnsi="黑体" w:eastAsia="黑体" w:cs="黑体"/>
          <w:b/>
          <w:bCs/>
          <w:spacing w:val="6"/>
          <w:kern w:val="0"/>
          <w:sz w:val="32"/>
          <w:szCs w:val="24"/>
          <w:lang w:val="en-US" w:eastAsia="zh-CN"/>
        </w:rPr>
        <w:t>五、建筑退让距离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64" w:firstLineChars="200"/>
        <w:jc w:val="both"/>
        <w:textAlignment w:val="auto"/>
        <w:outlineLvl w:val="9"/>
        <w:rPr>
          <w:rFonts w:hint="eastAsia" w:ascii="仿宋_GB2312" w:eastAsia="仿宋_GB2312" w:cs="Times New Roman"/>
          <w:spacing w:val="6"/>
          <w:kern w:val="0"/>
          <w:sz w:val="32"/>
          <w:szCs w:val="24"/>
          <w:lang w:val="en-US" w:eastAsia="zh-CN"/>
        </w:rPr>
      </w:pPr>
      <w:r>
        <w:rPr>
          <w:rFonts w:hint="eastAsia" w:ascii="仿宋_GB2312" w:eastAsia="仿宋_GB2312" w:cs="Times New Roman"/>
          <w:spacing w:val="6"/>
          <w:kern w:val="0"/>
          <w:sz w:val="32"/>
          <w:szCs w:val="24"/>
          <w:lang w:val="en-US" w:eastAsia="zh-CN"/>
        </w:rPr>
        <w:t>物流办公室退西侧用地边界6米；五金库房东退用地边界19.6米；职工洗浴南退用地边界14.3米；废品库南退用地边界14米，东退用地边界31.7米。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64" w:firstLineChars="200"/>
        <w:jc w:val="both"/>
        <w:textAlignment w:val="auto"/>
        <w:outlineLvl w:val="9"/>
        <w:rPr>
          <w:rFonts w:hint="eastAsia" w:ascii="黑体" w:hAnsi="黑体" w:eastAsia="黑体" w:cs="黑体"/>
          <w:b/>
          <w:bCs/>
          <w:spacing w:val="6"/>
          <w:kern w:val="0"/>
          <w:sz w:val="32"/>
          <w:szCs w:val="24"/>
          <w:lang w:val="en-US" w:eastAsia="zh-CN"/>
        </w:rPr>
      </w:pPr>
      <w:r>
        <w:rPr>
          <w:rFonts w:hint="eastAsia" w:ascii="仿宋_GB2312" w:eastAsia="仿宋_GB2312"/>
          <w:spacing w:val="6"/>
          <w:kern w:val="0"/>
          <w:sz w:val="32"/>
          <w:szCs w:val="24"/>
          <w:lang w:val="en-US" w:eastAsia="zh-CN"/>
        </w:rPr>
        <w:t>建筑退让用地红线及建筑间距均符合国家规范及省市相关规范规定。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33" w:firstLineChars="100"/>
        <w:jc w:val="left"/>
        <w:textAlignment w:val="auto"/>
        <w:outlineLvl w:val="9"/>
        <w:rPr>
          <w:rFonts w:hint="eastAsia" w:ascii="黑体" w:hAnsi="黑体" w:eastAsia="黑体" w:cs="黑体"/>
          <w:b/>
          <w:bCs/>
          <w:spacing w:val="6"/>
          <w:kern w:val="0"/>
          <w:sz w:val="32"/>
          <w:szCs w:val="24"/>
          <w:lang w:val="en-US" w:eastAsia="zh-CN"/>
        </w:rPr>
      </w:pPr>
      <w:r>
        <w:rPr>
          <w:rFonts w:hint="eastAsia" w:ascii="黑体" w:hAnsi="黑体" w:eastAsia="黑体" w:cs="黑体"/>
          <w:b/>
          <w:bCs/>
          <w:spacing w:val="6"/>
          <w:kern w:val="0"/>
          <w:sz w:val="32"/>
          <w:szCs w:val="24"/>
          <w:lang w:val="en-US" w:eastAsia="zh-CN"/>
        </w:rPr>
        <w:t>六、技术经济指标</w:t>
      </w:r>
    </w:p>
    <w:tbl>
      <w:tblPr>
        <w:tblStyle w:val="6"/>
        <w:tblW w:w="8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51"/>
        <w:gridCol w:w="1792"/>
        <w:gridCol w:w="145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351" w:type="dxa"/>
            <w:noWrap w:val="0"/>
            <w:vAlign w:val="center"/>
          </w:tcPr>
          <w:p>
            <w:pPr>
              <w:autoSpaceDE w:val="0"/>
              <w:autoSpaceDN w:val="0"/>
              <w:adjustRightInd w:val="0"/>
              <w:snapToGrid w:val="0"/>
              <w:spacing w:line="240" w:lineRule="auto"/>
              <w:jc w:val="center"/>
              <w:rPr>
                <w:rFonts w:hint="eastAsia" w:ascii="仿宋_GB2312" w:hAnsi="Calibri" w:eastAsia="仿宋_GB2312"/>
                <w:bCs/>
                <w:color w:val="000000"/>
                <w:kern w:val="0"/>
                <w:sz w:val="24"/>
                <w:szCs w:val="24"/>
              </w:rPr>
            </w:pPr>
          </w:p>
          <w:p>
            <w:pPr>
              <w:autoSpaceDE w:val="0"/>
              <w:autoSpaceDN w:val="0"/>
              <w:adjustRightInd w:val="0"/>
              <w:snapToGrid w:val="0"/>
              <w:spacing w:line="240" w:lineRule="auto"/>
              <w:jc w:val="center"/>
              <w:rPr>
                <w:rFonts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项目</w:t>
            </w:r>
          </w:p>
        </w:tc>
        <w:tc>
          <w:tcPr>
            <w:tcW w:w="1792"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数量</w:t>
            </w:r>
          </w:p>
        </w:tc>
        <w:tc>
          <w:tcPr>
            <w:tcW w:w="1455"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备 注</w:t>
            </w:r>
          </w:p>
        </w:tc>
        <w:tc>
          <w:tcPr>
            <w:tcW w:w="1455" w:type="dxa"/>
            <w:noWrap w:val="0"/>
            <w:vAlign w:val="center"/>
          </w:tcPr>
          <w:p>
            <w:pPr>
              <w:autoSpaceDE w:val="0"/>
              <w:autoSpaceDN w:val="0"/>
              <w:adjustRightInd w:val="0"/>
              <w:snapToGrid w:val="0"/>
              <w:spacing w:line="240" w:lineRule="auto"/>
              <w:jc w:val="center"/>
              <w:rPr>
                <w:rFonts w:hint="eastAsia"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3351"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规划用地面积</w:t>
            </w:r>
          </w:p>
        </w:tc>
        <w:tc>
          <w:tcPr>
            <w:tcW w:w="1792"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94670.70</w:t>
            </w:r>
          </w:p>
        </w:tc>
        <w:tc>
          <w:tcPr>
            <w:tcW w:w="1455"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p>
        </w:tc>
        <w:tc>
          <w:tcPr>
            <w:tcW w:w="1455"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m</w:t>
            </w:r>
            <w:r>
              <w:rPr>
                <w:rFonts w:hint="eastAsia" w:ascii="仿宋_GB2312" w:hAnsi="Calibri" w:eastAsia="仿宋_GB2312"/>
                <w:bCs/>
                <w:color w:val="000000"/>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351"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总建筑面积</w:t>
            </w:r>
          </w:p>
        </w:tc>
        <w:tc>
          <w:tcPr>
            <w:tcW w:w="1792"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67447.74</w:t>
            </w:r>
          </w:p>
        </w:tc>
        <w:tc>
          <w:tcPr>
            <w:tcW w:w="1455"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计容建筑面积：87097.89</w:t>
            </w:r>
          </w:p>
        </w:tc>
        <w:tc>
          <w:tcPr>
            <w:tcW w:w="1455" w:type="dxa"/>
            <w:noWrap w:val="0"/>
            <w:vAlign w:val="center"/>
          </w:tcPr>
          <w:p>
            <w:pPr>
              <w:autoSpaceDE w:val="0"/>
              <w:autoSpaceDN w:val="0"/>
              <w:adjustRightInd w:val="0"/>
              <w:snapToGrid w:val="0"/>
              <w:spacing w:line="240" w:lineRule="auto"/>
              <w:jc w:val="center"/>
              <w:rPr>
                <w:rFonts w:hint="eastAsia"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m</w:t>
            </w:r>
            <w:r>
              <w:rPr>
                <w:rFonts w:hint="eastAsia" w:ascii="仿宋_GB2312" w:hAnsi="Calibri" w:eastAsia="仿宋_GB2312"/>
                <w:bCs/>
                <w:color w:val="000000"/>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351"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建筑物构筑物占地面积</w:t>
            </w:r>
          </w:p>
        </w:tc>
        <w:tc>
          <w:tcPr>
            <w:tcW w:w="1792"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48015.63</w:t>
            </w:r>
          </w:p>
        </w:tc>
        <w:tc>
          <w:tcPr>
            <w:tcW w:w="1455"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p>
        </w:tc>
        <w:tc>
          <w:tcPr>
            <w:tcW w:w="1455"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m</w:t>
            </w:r>
            <w:r>
              <w:rPr>
                <w:rFonts w:hint="eastAsia" w:ascii="仿宋_GB2312" w:hAnsi="Calibri" w:eastAsia="仿宋_GB2312"/>
                <w:bCs/>
                <w:color w:val="000000"/>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351"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容积率</w:t>
            </w:r>
          </w:p>
        </w:tc>
        <w:tc>
          <w:tcPr>
            <w:tcW w:w="1792"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0.92</w:t>
            </w:r>
          </w:p>
        </w:tc>
        <w:tc>
          <w:tcPr>
            <w:tcW w:w="1455"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p>
        </w:tc>
        <w:tc>
          <w:tcPr>
            <w:tcW w:w="1455" w:type="dxa"/>
            <w:noWrap w:val="0"/>
            <w:vAlign w:val="center"/>
          </w:tcPr>
          <w:p>
            <w:pPr>
              <w:autoSpaceDE w:val="0"/>
              <w:autoSpaceDN w:val="0"/>
              <w:adjustRightInd w:val="0"/>
              <w:snapToGrid w:val="0"/>
              <w:spacing w:line="240" w:lineRule="auto"/>
              <w:jc w:val="center"/>
              <w:rPr>
                <w:rFonts w:hint="eastAsia" w:ascii="仿宋_GB2312" w:hAnsi="Calibri" w:eastAsia="仿宋_GB2312"/>
                <w:bCs/>
                <w:color w:val="000000"/>
                <w:kern w:val="0"/>
                <w:sz w:val="24"/>
                <w:szCs w:val="24"/>
                <w:lang w:val="en-US" w:eastAsia="zh-CN"/>
              </w:rPr>
            </w:pPr>
            <w:r>
              <w:rPr>
                <w:rFonts w:hint="eastAsia" w:ascii="仿宋_GB2312" w:hAnsi="Calibri" w:eastAsia="仿宋_GB2312"/>
                <w:bCs/>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351" w:type="dxa"/>
            <w:noWrap w:val="0"/>
            <w:vAlign w:val="center"/>
          </w:tcPr>
          <w:p>
            <w:pPr>
              <w:autoSpaceDE w:val="0"/>
              <w:autoSpaceDN w:val="0"/>
              <w:adjustRightInd w:val="0"/>
              <w:snapToGrid w:val="0"/>
              <w:spacing w:line="240" w:lineRule="auto"/>
              <w:jc w:val="center"/>
              <w:rPr>
                <w:rFonts w:hint="eastAsia" w:ascii="仿宋_GB2312" w:hAnsi="Calibri" w:eastAsia="仿宋_GB2312"/>
                <w:bCs/>
                <w:color w:val="000000"/>
                <w:kern w:val="0"/>
                <w:sz w:val="24"/>
                <w:szCs w:val="24"/>
                <w:lang w:eastAsia="zh-CN"/>
              </w:rPr>
            </w:pPr>
            <w:r>
              <w:rPr>
                <w:rFonts w:hint="eastAsia" w:ascii="仿宋_GB2312" w:hAnsi="Calibri" w:eastAsia="仿宋_GB2312"/>
                <w:bCs/>
                <w:color w:val="000000"/>
                <w:kern w:val="0"/>
                <w:sz w:val="24"/>
                <w:szCs w:val="24"/>
              </w:rPr>
              <w:t>建筑</w:t>
            </w:r>
            <w:r>
              <w:rPr>
                <w:rFonts w:hint="eastAsia" w:ascii="仿宋_GB2312" w:hAnsi="Calibri" w:eastAsia="仿宋_GB2312"/>
                <w:bCs/>
                <w:color w:val="000000"/>
                <w:kern w:val="0"/>
                <w:sz w:val="24"/>
                <w:szCs w:val="24"/>
                <w:lang w:val="en-US" w:eastAsia="zh-CN"/>
              </w:rPr>
              <w:t>系数</w:t>
            </w:r>
          </w:p>
        </w:tc>
        <w:tc>
          <w:tcPr>
            <w:tcW w:w="1792" w:type="dxa"/>
            <w:noWrap w:val="0"/>
            <w:vAlign w:val="center"/>
          </w:tcPr>
          <w:p>
            <w:pPr>
              <w:autoSpaceDE w:val="0"/>
              <w:autoSpaceDN w:val="0"/>
              <w:adjustRightInd w:val="0"/>
              <w:snapToGrid w:val="0"/>
              <w:spacing w:line="240" w:lineRule="auto"/>
              <w:jc w:val="center"/>
              <w:rPr>
                <w:rFonts w:hint="eastAsia" w:ascii="仿宋_GB2312" w:hAnsi="Calibri" w:eastAsia="仿宋_GB2312"/>
                <w:bCs/>
                <w:color w:val="000000"/>
                <w:kern w:val="0"/>
                <w:sz w:val="24"/>
                <w:szCs w:val="24"/>
                <w:lang w:eastAsia="zh-CN"/>
              </w:rPr>
            </w:pPr>
            <w:r>
              <w:rPr>
                <w:rFonts w:hint="eastAsia" w:ascii="仿宋_GB2312" w:hAnsi="Calibri" w:eastAsia="仿宋_GB2312"/>
                <w:bCs/>
                <w:color w:val="000000"/>
                <w:kern w:val="0"/>
                <w:sz w:val="24"/>
                <w:szCs w:val="24"/>
              </w:rPr>
              <w:t>50.</w:t>
            </w:r>
            <w:r>
              <w:rPr>
                <w:rFonts w:hint="eastAsia" w:ascii="仿宋_GB2312" w:hAnsi="Calibri" w:eastAsia="仿宋_GB2312"/>
                <w:bCs/>
                <w:color w:val="000000"/>
                <w:kern w:val="0"/>
                <w:sz w:val="24"/>
                <w:szCs w:val="24"/>
                <w:lang w:val="en-US" w:eastAsia="zh-CN"/>
              </w:rPr>
              <w:t>7</w:t>
            </w:r>
          </w:p>
        </w:tc>
        <w:tc>
          <w:tcPr>
            <w:tcW w:w="1455"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p>
        </w:tc>
        <w:tc>
          <w:tcPr>
            <w:tcW w:w="1455" w:type="dxa"/>
            <w:noWrap w:val="0"/>
            <w:vAlign w:val="center"/>
          </w:tcPr>
          <w:p>
            <w:pPr>
              <w:autoSpaceDE w:val="0"/>
              <w:autoSpaceDN w:val="0"/>
              <w:adjustRightInd w:val="0"/>
              <w:snapToGrid w:val="0"/>
              <w:spacing w:line="240" w:lineRule="auto"/>
              <w:jc w:val="center"/>
              <w:rPr>
                <w:rFonts w:hint="eastAsia"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351"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绿地率</w:t>
            </w:r>
          </w:p>
        </w:tc>
        <w:tc>
          <w:tcPr>
            <w:tcW w:w="1792"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15.8</w:t>
            </w:r>
          </w:p>
        </w:tc>
        <w:tc>
          <w:tcPr>
            <w:tcW w:w="1455"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p>
        </w:tc>
        <w:tc>
          <w:tcPr>
            <w:tcW w:w="1455" w:type="dxa"/>
            <w:noWrap w:val="0"/>
            <w:vAlign w:val="center"/>
          </w:tcPr>
          <w:p>
            <w:pPr>
              <w:autoSpaceDE w:val="0"/>
              <w:autoSpaceDN w:val="0"/>
              <w:adjustRightInd w:val="0"/>
              <w:snapToGrid w:val="0"/>
              <w:spacing w:line="240" w:lineRule="auto"/>
              <w:jc w:val="center"/>
              <w:rPr>
                <w:rFonts w:hint="eastAsia"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351"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机动车停车位</w:t>
            </w:r>
          </w:p>
        </w:tc>
        <w:tc>
          <w:tcPr>
            <w:tcW w:w="1792"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212</w:t>
            </w:r>
          </w:p>
        </w:tc>
        <w:tc>
          <w:tcPr>
            <w:tcW w:w="1455"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p>
        </w:tc>
        <w:tc>
          <w:tcPr>
            <w:tcW w:w="1455" w:type="dxa"/>
            <w:noWrap w:val="0"/>
            <w:vAlign w:val="center"/>
          </w:tcPr>
          <w:p>
            <w:pPr>
              <w:autoSpaceDE w:val="0"/>
              <w:autoSpaceDN w:val="0"/>
              <w:adjustRightInd w:val="0"/>
              <w:snapToGrid w:val="0"/>
              <w:spacing w:line="240" w:lineRule="auto"/>
              <w:jc w:val="center"/>
              <w:rPr>
                <w:rFonts w:ascii="仿宋_GB2312" w:hAnsi="Calibri" w:eastAsia="仿宋_GB2312"/>
                <w:bCs/>
                <w:color w:val="000000"/>
                <w:kern w:val="0"/>
                <w:sz w:val="24"/>
                <w:szCs w:val="24"/>
              </w:rPr>
            </w:pPr>
            <w:r>
              <w:rPr>
                <w:rFonts w:hint="eastAsia" w:ascii="仿宋_GB2312" w:hAnsi="Calibri" w:eastAsia="仿宋_GB2312"/>
                <w:bCs/>
                <w:color w:val="000000"/>
                <w:kern w:val="0"/>
                <w:sz w:val="24"/>
                <w:szCs w:val="24"/>
              </w:rPr>
              <w:t>个</w:t>
            </w:r>
          </w:p>
        </w:tc>
      </w:tr>
    </w:tbl>
    <w:p>
      <w:pPr>
        <w:ind w:left="-424" w:leftChars="-202" w:right="-630" w:rightChars="-300" w:firstLine="640" w:firstLineChars="200"/>
        <w:rPr>
          <w:rFonts w:hint="eastAsia" w:ascii="仿宋_GB2312" w:hAnsi="Calibri" w:eastAsia="仿宋_GB2312"/>
          <w:sz w:val="32"/>
          <w:szCs w:val="32"/>
          <w:lang w:val="en-US" w:eastAsia="zh-CN"/>
        </w:rPr>
      </w:pPr>
    </w:p>
    <w:sectPr>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SongStd-Light">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wZmYzMTJkNGQ3ZDY3ODI5ZTQzMjJkZjZjM2Y5Y2QifQ=="/>
  </w:docVars>
  <w:rsids>
    <w:rsidRoot w:val="00000000"/>
    <w:rsid w:val="00445A65"/>
    <w:rsid w:val="01906416"/>
    <w:rsid w:val="01922005"/>
    <w:rsid w:val="03B3534D"/>
    <w:rsid w:val="03FC4967"/>
    <w:rsid w:val="042F04AE"/>
    <w:rsid w:val="053B6DB5"/>
    <w:rsid w:val="05790EC1"/>
    <w:rsid w:val="05FF7DC0"/>
    <w:rsid w:val="066937FA"/>
    <w:rsid w:val="06EB269D"/>
    <w:rsid w:val="095C25EB"/>
    <w:rsid w:val="0C5F4D69"/>
    <w:rsid w:val="0C7F7717"/>
    <w:rsid w:val="0ED45892"/>
    <w:rsid w:val="0F482F5E"/>
    <w:rsid w:val="108C1CE9"/>
    <w:rsid w:val="10DE50E3"/>
    <w:rsid w:val="11760FA0"/>
    <w:rsid w:val="14A93382"/>
    <w:rsid w:val="159C05F0"/>
    <w:rsid w:val="17D84365"/>
    <w:rsid w:val="1AB200D3"/>
    <w:rsid w:val="1D504A01"/>
    <w:rsid w:val="21E2032F"/>
    <w:rsid w:val="22EA53C7"/>
    <w:rsid w:val="23BD4203"/>
    <w:rsid w:val="27A042D0"/>
    <w:rsid w:val="27C542C1"/>
    <w:rsid w:val="280D0AFC"/>
    <w:rsid w:val="299652EF"/>
    <w:rsid w:val="2C4F785B"/>
    <w:rsid w:val="2C612E7B"/>
    <w:rsid w:val="2CC45197"/>
    <w:rsid w:val="2D5A7631"/>
    <w:rsid w:val="2E712502"/>
    <w:rsid w:val="2E8120BD"/>
    <w:rsid w:val="307C6023"/>
    <w:rsid w:val="313B4D14"/>
    <w:rsid w:val="339F6CFB"/>
    <w:rsid w:val="365263CF"/>
    <w:rsid w:val="36EA1AA7"/>
    <w:rsid w:val="3705613C"/>
    <w:rsid w:val="39357370"/>
    <w:rsid w:val="3A5F0E51"/>
    <w:rsid w:val="3C542601"/>
    <w:rsid w:val="3E47116A"/>
    <w:rsid w:val="40312C9B"/>
    <w:rsid w:val="42F65FAC"/>
    <w:rsid w:val="436950D8"/>
    <w:rsid w:val="43A635AF"/>
    <w:rsid w:val="46E020A0"/>
    <w:rsid w:val="47E87C14"/>
    <w:rsid w:val="48C2406C"/>
    <w:rsid w:val="495D23E9"/>
    <w:rsid w:val="4A767C4A"/>
    <w:rsid w:val="4CA7048B"/>
    <w:rsid w:val="4D9F5861"/>
    <w:rsid w:val="4FC97AAD"/>
    <w:rsid w:val="500F7E65"/>
    <w:rsid w:val="51884AAC"/>
    <w:rsid w:val="519204E8"/>
    <w:rsid w:val="548579F5"/>
    <w:rsid w:val="57327131"/>
    <w:rsid w:val="578A34E6"/>
    <w:rsid w:val="585A62C9"/>
    <w:rsid w:val="5B5D3D91"/>
    <w:rsid w:val="5C762BB1"/>
    <w:rsid w:val="5E424B98"/>
    <w:rsid w:val="5F45555D"/>
    <w:rsid w:val="5F6B0AF1"/>
    <w:rsid w:val="6081610B"/>
    <w:rsid w:val="6296651C"/>
    <w:rsid w:val="64DF7D3D"/>
    <w:rsid w:val="655A52AD"/>
    <w:rsid w:val="65A40BF6"/>
    <w:rsid w:val="67CC0F5E"/>
    <w:rsid w:val="689164C2"/>
    <w:rsid w:val="69FF75DC"/>
    <w:rsid w:val="6A0544CC"/>
    <w:rsid w:val="6A7F0410"/>
    <w:rsid w:val="6C1303C0"/>
    <w:rsid w:val="6EA9740B"/>
    <w:rsid w:val="6F2A5F87"/>
    <w:rsid w:val="6F345AB5"/>
    <w:rsid w:val="737E1009"/>
    <w:rsid w:val="75C50A30"/>
    <w:rsid w:val="76526615"/>
    <w:rsid w:val="76CD6BD8"/>
    <w:rsid w:val="779D1704"/>
    <w:rsid w:val="788A7898"/>
    <w:rsid w:val="7DEF5D93"/>
    <w:rsid w:val="7F5261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无段落样式]"/>
    <w:unhideWhenUsed/>
    <w:qFormat/>
    <w:uiPriority w:val="99"/>
    <w:pPr>
      <w:widowControl w:val="0"/>
      <w:autoSpaceDE w:val="0"/>
      <w:autoSpaceDN w:val="0"/>
      <w:adjustRightInd w:val="0"/>
      <w:spacing w:beforeLines="0" w:afterLines="0" w:line="288" w:lineRule="auto"/>
      <w:textAlignment w:val="center"/>
    </w:pPr>
    <w:rPr>
      <w:rFonts w:hint="eastAsia" w:ascii="AdobeSongStd-Light" w:hAnsi="AdobeSongStd-Light" w:eastAsia="AdobeSongStd-Light" w:cs="Times New Roman"/>
      <w:color w:val="000000"/>
      <w:sz w:val="24"/>
      <w:szCs w:val="24"/>
    </w:rPr>
  </w:style>
  <w:style w:type="paragraph" w:customStyle="1" w:styleId="9">
    <w:name w:val="[基本段落]"/>
    <w:basedOn w:val="8"/>
    <w:unhideWhenUsed/>
    <w:qFormat/>
    <w:uiPriority w:val="99"/>
    <w:pPr>
      <w:spacing w:beforeLines="0" w:afterLines="0"/>
    </w:pPr>
    <w:rPr>
      <w:rFonts w:hint="eastAsia"/>
      <w:sz w:val="24"/>
      <w:szCs w:val="24"/>
    </w:rPr>
  </w:style>
  <w:style w:type="paragraph" w:customStyle="1" w:styleId="10">
    <w:name w:val="p17"/>
    <w:basedOn w:val="1"/>
    <w:qFormat/>
    <w:uiPriority w:val="0"/>
    <w:pPr>
      <w:widowControl/>
      <w:spacing w:line="360" w:lineRule="auto"/>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620</Words>
  <Characters>689</Characters>
  <Lines>0</Lines>
  <Paragraphs>0</Paragraphs>
  <TotalTime>23</TotalTime>
  <ScaleCrop>false</ScaleCrop>
  <LinksUpToDate>false</LinksUpToDate>
  <CharactersWithSpaces>695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2021-08-04T06:39:00Z</dcterms:created>
  <dc:creator>user</dc:creator>
  <cp:lastModifiedBy>萧肃星空</cp:lastModifiedBy>
  <cp:lastPrinted>2021-08-30T01:16:00Z</cp:lastPrinted>
  <dcterms:modified xsi:type="dcterms:W3CDTF">2022-06-29T04:23:18Z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E013A096FB7243409A6E7DA24538A02E</vt:lpwstr>
  </property>
</Properties>
</file>